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Style w:val="15"/>
          <w:rFonts w:ascii="宋体" w:hAnsi="宋体" w:cs="宋体"/>
          <w:b/>
          <w:bCs/>
          <w:sz w:val="36"/>
          <w:szCs w:val="36"/>
        </w:rPr>
      </w:pPr>
      <w:r>
        <w:rPr>
          <w:rFonts w:hint="eastAsia" w:ascii="宋体" w:hAnsi="宋体" w:cs="宋体"/>
          <w:b/>
          <w:bCs/>
          <w:color w:val="auto"/>
          <w:kern w:val="2"/>
          <w:sz w:val="36"/>
          <w:szCs w:val="36"/>
          <w:shd w:val="clear" w:color="auto" w:fill="FFFFFF"/>
          <w:lang w:val="en-US" w:eastAsia="zh-CN"/>
        </w:rPr>
        <w:t>中煤华利（北京）科技有限公司智慧综合物流</w:t>
      </w:r>
      <w:r>
        <w:rPr>
          <w:rFonts w:hint="eastAsia" w:ascii="宋体" w:hAnsi="宋体" w:cs="宋体"/>
          <w:b/>
          <w:bCs/>
          <w:color w:val="auto"/>
          <w:kern w:val="2"/>
          <w:sz w:val="36"/>
          <w:szCs w:val="36"/>
          <w:shd w:val="clear" w:color="auto" w:fill="FFFFFF"/>
        </w:rPr>
        <w:t>服务项目</w:t>
      </w:r>
      <w:r>
        <w:rPr>
          <w:rFonts w:hint="eastAsia" w:ascii="宋体" w:hAnsi="宋体" w:cs="宋体"/>
          <w:b/>
          <w:bCs/>
          <w:color w:val="auto"/>
          <w:kern w:val="2"/>
          <w:sz w:val="36"/>
          <w:szCs w:val="36"/>
          <w:shd w:val="clear" w:color="auto" w:fill="FFFFFF"/>
          <w:lang w:val="en-US" w:eastAsia="zh-CN"/>
        </w:rPr>
        <w:t>技术</w:t>
      </w:r>
      <w:r>
        <w:rPr>
          <w:rStyle w:val="15"/>
          <w:rFonts w:hint="eastAsia" w:ascii="宋体" w:hAnsi="宋体" w:cs="宋体"/>
          <w:b/>
          <w:bCs/>
          <w:sz w:val="36"/>
          <w:szCs w:val="36"/>
        </w:rPr>
        <w:t>要求</w:t>
      </w:r>
    </w:p>
    <w:p>
      <w:pPr>
        <w:keepNext w:val="0"/>
        <w:keepLines w:val="0"/>
        <w:pageBreakBefore w:val="0"/>
        <w:kinsoku/>
        <w:wordWrap/>
        <w:overflowPunct/>
        <w:topLinePunct w:val="0"/>
        <w:autoSpaceDE/>
        <w:autoSpaceDN/>
        <w:bidi w:val="0"/>
        <w:adjustRightInd/>
        <w:snapToGrid/>
        <w:spacing w:line="360" w:lineRule="exact"/>
        <w:ind w:firstLine="560" w:firstLineChars="200"/>
        <w:rPr>
          <w:rFonts w:hint="eastAsia" w:ascii="宋体" w:hAnsi="宋体" w:eastAsia="宋体" w:cs="宋体"/>
          <w:sz w:val="28"/>
          <w:szCs w:val="28"/>
        </w:rPr>
      </w:pPr>
    </w:p>
    <w:p>
      <w:pPr>
        <w:keepNext w:val="0"/>
        <w:keepLines w:val="0"/>
        <w:pageBreakBefore w:val="0"/>
        <w:kinsoku/>
        <w:wordWrap/>
        <w:overflowPunct/>
        <w:topLinePunct w:val="0"/>
        <w:autoSpaceDE/>
        <w:autoSpaceDN/>
        <w:bidi w:val="0"/>
        <w:adjustRightInd/>
        <w:snapToGrid/>
        <w:spacing w:line="560" w:lineRule="exact"/>
        <w:ind w:firstLine="562" w:firstLineChars="200"/>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rPr>
        <w:t>一、项目</w:t>
      </w:r>
      <w:r>
        <w:rPr>
          <w:rFonts w:hint="eastAsia" w:ascii="宋体" w:hAnsi="宋体" w:cs="宋体"/>
          <w:b/>
          <w:bCs/>
          <w:sz w:val="28"/>
          <w:szCs w:val="28"/>
          <w:lang w:val="en-US" w:eastAsia="zh-CN"/>
        </w:rPr>
        <w:t>需求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outlineLvl w:val="0"/>
        <w:rPr>
          <w:rFonts w:hint="default" w:ascii="宋体" w:hAnsi="宋体" w:eastAsia="宋体" w:cs="宋体"/>
          <w:sz w:val="28"/>
          <w:szCs w:val="28"/>
          <w:lang w:val="en-US" w:eastAsia="zh-CN"/>
        </w:rPr>
      </w:pPr>
      <w:r>
        <w:rPr>
          <w:rFonts w:hint="eastAsia" w:ascii="宋体" w:hAnsi="宋体" w:cs="宋体"/>
          <w:sz w:val="28"/>
          <w:szCs w:val="28"/>
          <w:lang w:val="en-US" w:eastAsia="zh-CN"/>
        </w:rPr>
        <w:t>本项目旨在采购一套先进的网络货运信息化系统，以支持公司煤炭运销业务的智能化建设和数字化转型。系统需全面覆盖车货匹配、运单管理、电子合同、运费结算、税务开票对接、监管数据报送及运营监控等核心功能，确保业务流程的高效、合规与透明。同时，系统的引入将为公司办理北京市《网络货运道路运输经营许可证》提供必要的技术支持和数据保障，促进网络货运业务的顺利开展和持续优化。</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outlineLvl w:val="0"/>
        <w:rPr>
          <w:rFonts w:hint="eastAsia" w:ascii="宋体" w:hAnsi="宋体" w:eastAsia="宋体" w:cs="宋体"/>
          <w:b/>
          <w:bCs/>
          <w:sz w:val="28"/>
          <w:szCs w:val="28"/>
        </w:rPr>
      </w:pPr>
      <w:r>
        <w:rPr>
          <w:rFonts w:hint="eastAsia" w:ascii="宋体" w:hAnsi="宋体" w:eastAsia="宋体" w:cs="宋体"/>
          <w:b/>
          <w:bCs/>
          <w:sz w:val="28"/>
          <w:szCs w:val="28"/>
        </w:rPr>
        <w:t>二、主要工作内容</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1.网络货运信息化系统开发：包括但不限于车货匹配、运单管理、电子合同、运费结算、税务开票对接、监管数据报送、财务对账及运营监控等核心功能。</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系统接口开发和数据采集：根据网络货运平台定制化开发需求，对接联调至我司现有平台（煤管家）服务端口，实现一键派单和订单实时路径跟踪可视化等功能，另外能够建设与国家交通运输部、国家铁路集团的数据对接组件，获取车辆实时定位信息、车辆行驶轨迹信息、铁路箱在途信息等数据，为运输线路智能规划、多要素车货实时匹配、供应链增值服务数据智能分析、公共数据统计分析等智能应用提供物流信息数据，为相关产业分析、决策提供依据。</w:t>
      </w:r>
    </w:p>
    <w:p>
      <w:pPr>
        <w:pStyle w:val="10"/>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3.许可证办理支持：协助采购人完成</w:t>
      </w:r>
      <w:r>
        <w:rPr>
          <w:rFonts w:hint="eastAsia" w:ascii="宋体" w:hAnsi="宋体" w:cs="宋体"/>
          <w:kern w:val="2"/>
          <w:sz w:val="28"/>
          <w:szCs w:val="28"/>
          <w:lang w:val="en-US" w:eastAsia="zh-CN" w:bidi="ar-SA"/>
        </w:rPr>
        <w:t>北京市</w:t>
      </w:r>
      <w:r>
        <w:rPr>
          <w:rFonts w:hint="eastAsia" w:ascii="宋体" w:hAnsi="宋体" w:eastAsia="宋体" w:cs="宋体"/>
          <w:kern w:val="2"/>
          <w:sz w:val="28"/>
          <w:szCs w:val="28"/>
          <w:lang w:val="en-US" w:eastAsia="zh-CN" w:bidi="ar-SA"/>
        </w:rPr>
        <w:t>《网络货运道路运输经营许可证》的申办，包括政策咨询、系统调试、数据合规性审查和相关材料准备与对接。</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4.技术服务与培训：提供系统实施、培训与售后支持，确保采购人在上线运行后能够独立高效使用系统。。</w:t>
      </w:r>
    </w:p>
    <w:p>
      <w:pPr>
        <w:keepNext w:val="0"/>
        <w:keepLines w:val="0"/>
        <w:pageBreakBefore w:val="0"/>
        <w:kinsoku/>
        <w:wordWrap/>
        <w:overflowPunct/>
        <w:topLinePunct w:val="0"/>
        <w:autoSpaceDE/>
        <w:autoSpaceDN/>
        <w:bidi w:val="0"/>
        <w:adjustRightInd/>
        <w:snapToGrid/>
        <w:spacing w:line="560" w:lineRule="exact"/>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三、技术要求</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jc w:val="both"/>
        <w:textAlignment w:val="auto"/>
        <w:rPr>
          <w:rFonts w:hint="eastAsia" w:ascii="宋体" w:hAnsi="宋体" w:eastAsia="宋体" w:cs="宋体"/>
          <w:kern w:val="2"/>
          <w:sz w:val="28"/>
          <w:szCs w:val="28"/>
          <w:lang w:val="zh-CN" w:eastAsia="zh-CN" w:bidi="ar-SA"/>
        </w:rPr>
      </w:pPr>
      <w:r>
        <w:rPr>
          <w:rFonts w:hint="eastAsia" w:ascii="宋体" w:hAnsi="宋体" w:cs="宋体"/>
          <w:kern w:val="2"/>
          <w:sz w:val="28"/>
          <w:szCs w:val="28"/>
          <w:lang w:val="en-US" w:eastAsia="zh-CN" w:bidi="ar-SA"/>
        </w:rPr>
        <w:t>所采购的网络货运信息化系统需具备权限设置、车辆及司机管理、交易流程查询、货源信息管理，电子运单管理、交易资金流水查询、运输合同管理、发票信息维护及管理、运营报告分析、交易报表统计查询、数据可视化、在途运输车辆监控、用户注册资料真实性审核、监管数据报送、运营监控等核心功能，同时支持运营端、货主端、经纪人端、司机端等业务各类角色使用，支持多平台（包括移动设备）的兼容性，采用先进的数据安全与隐私保护措施，提供开放的标准化接口以实现与第三方平台的无缝集成。此外，系统应具备实时数据同步、稳定的性能表现、用户友好的界面设计及符合《中华人民共和国网络安全法》等相关法规的合规性，具备完善的数据审计与追溯功能。供应商还需提供全面的技术支持与维护服务，包括系统上线调试、用户培训、定期升级与故障响应，确保项目的顺利实施和长期运行。</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baseline"/>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四、资质要求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baseline"/>
        <w:rPr>
          <w:rFonts w:hint="eastAsia" w:ascii="宋体" w:hAnsi="宋体" w:eastAsia="宋体" w:cs="宋体"/>
          <w:i w:val="0"/>
          <w:caps w:val="0"/>
          <w:color w:val="333333"/>
          <w:spacing w:val="0"/>
          <w:sz w:val="28"/>
          <w:szCs w:val="28"/>
          <w:shd w:val="clear" w:color="auto" w:fill="FFFFFF"/>
          <w:lang w:val="en-US" w:eastAsia="zh-CN"/>
        </w:rPr>
      </w:pPr>
      <w:r>
        <w:rPr>
          <w:rFonts w:hint="eastAsia" w:ascii="宋体" w:hAnsi="宋体" w:eastAsia="宋体" w:cs="宋体"/>
          <w:i w:val="0"/>
          <w:caps w:val="0"/>
          <w:color w:val="333333"/>
          <w:spacing w:val="0"/>
          <w:sz w:val="28"/>
          <w:szCs w:val="28"/>
          <w:shd w:val="clear" w:color="auto" w:fill="FFFFFF"/>
          <w:lang w:val="en-US" w:eastAsia="zh-CN"/>
        </w:rPr>
        <w:t>1.报价单位须在中国境内注册、具有独立企业法人资格，能在国内合法提供本询价项目的服务商</w:t>
      </w:r>
      <w:r>
        <w:rPr>
          <w:rFonts w:hint="eastAsia" w:ascii="宋体" w:hAnsi="宋体" w:cs="宋体"/>
          <w:i w:val="0"/>
          <w:caps w:val="0"/>
          <w:color w:val="333333"/>
          <w:spacing w:val="0"/>
          <w:sz w:val="28"/>
          <w:szCs w:val="28"/>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baseline"/>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pPr>
      <w:r>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t>2.报价单位须提供ISO9001资质证书、ISO20000信息技术服务管理体系认证证书、ISO27001信息安全管理体系认证证书、CMMI软件能力成熟度三级以上证书；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baseline"/>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pPr>
      <w:r>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t>3.投标人需提供至少一项与本项目相关的计算机软件著作权登记证；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baseline"/>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pPr>
      <w:r>
        <w:rPr>
          <w:rFonts w:hint="eastAsia" w:ascii="宋体" w:hAnsi="宋体" w:cs="宋体"/>
          <w:i w:val="0"/>
          <w:caps w:val="0"/>
          <w:color w:val="000000" w:themeColor="text1"/>
          <w:spacing w:val="0"/>
          <w:sz w:val="28"/>
          <w:szCs w:val="28"/>
          <w:highlight w:val="none"/>
          <w:shd w:val="clear" w:color="auto" w:fill="FFFFFF"/>
          <w:lang w:val="en-US" w:eastAsia="zh-CN"/>
          <w14:textFill>
            <w14:solidFill>
              <w14:schemeClr w14:val="tx1"/>
            </w14:solidFill>
          </w14:textFill>
        </w:rPr>
        <w:t>4.询价响应人须提供近三年类似项目的相关业绩证明，并提供项目截图；</w:t>
      </w:r>
    </w:p>
    <w:p>
      <w:pPr>
        <w:keepNext w:val="0"/>
        <w:keepLines w:val="0"/>
        <w:pageBreakBefore w:val="0"/>
        <w:kinsoku/>
        <w:wordWrap/>
        <w:overflowPunct/>
        <w:topLinePunct w:val="0"/>
        <w:autoSpaceDE/>
        <w:autoSpaceDN/>
        <w:bidi w:val="0"/>
        <w:adjustRightInd/>
        <w:snapToGrid/>
        <w:spacing w:line="560" w:lineRule="exact"/>
        <w:ind w:firstLine="560" w:firstLineChars="200"/>
        <w:rPr>
          <w:rFonts w:hint="eastAsia" w:ascii="宋体" w:hAnsi="宋体" w:eastAsia="宋体" w:cs="宋体"/>
          <w:i w:val="0"/>
          <w:caps w:val="0"/>
          <w:color w:val="333333"/>
          <w:spacing w:val="0"/>
          <w:sz w:val="28"/>
          <w:szCs w:val="28"/>
          <w:shd w:val="clear" w:color="auto" w:fill="FFFFFF"/>
          <w:lang w:val="en-US" w:eastAsia="zh-CN"/>
        </w:rPr>
      </w:pPr>
      <w:r>
        <w:rPr>
          <w:rFonts w:hint="eastAsia" w:ascii="宋体" w:hAnsi="宋体" w:cs="宋体"/>
          <w:i w:val="0"/>
          <w:caps w:val="0"/>
          <w:color w:val="333333"/>
          <w:spacing w:val="0"/>
          <w:sz w:val="28"/>
          <w:szCs w:val="28"/>
          <w:shd w:val="clear" w:color="auto" w:fill="FFFFFF"/>
          <w:lang w:val="en-US" w:eastAsia="zh-CN"/>
        </w:rPr>
        <w:t>5</w:t>
      </w:r>
      <w:r>
        <w:rPr>
          <w:rFonts w:hint="eastAsia" w:ascii="宋体" w:hAnsi="宋体" w:eastAsia="宋体" w:cs="宋体"/>
          <w:i w:val="0"/>
          <w:caps w:val="0"/>
          <w:color w:val="333333"/>
          <w:spacing w:val="0"/>
          <w:sz w:val="28"/>
          <w:szCs w:val="28"/>
          <w:shd w:val="clear" w:color="auto" w:fill="FFFFFF"/>
          <w:lang w:val="en-US" w:eastAsia="zh-CN"/>
        </w:rPr>
        <w:t>.询价响应人不得在国家企业信用信息公示系统（www.gsxt.gov.cn)中被列入经营异常名录或严重违法失信企业名单（询价响应人在询价响应文件中必须提供网上查询截图并加盖公章）；</w:t>
      </w:r>
    </w:p>
    <w:p>
      <w:pPr>
        <w:keepNext w:val="0"/>
        <w:keepLines w:val="0"/>
        <w:pageBreakBefore w:val="0"/>
        <w:kinsoku/>
        <w:wordWrap/>
        <w:overflowPunct/>
        <w:topLinePunct w:val="0"/>
        <w:autoSpaceDE/>
        <w:autoSpaceDN/>
        <w:bidi w:val="0"/>
        <w:adjustRightInd/>
        <w:snapToGrid/>
        <w:spacing w:line="560" w:lineRule="exact"/>
        <w:ind w:firstLine="560" w:firstLineChars="200"/>
        <w:rPr>
          <w:rFonts w:hint="eastAsia" w:ascii="宋体" w:hAnsi="宋体" w:eastAsia="宋体" w:cs="宋体"/>
          <w:i w:val="0"/>
          <w:caps w:val="0"/>
          <w:color w:val="333333"/>
          <w:spacing w:val="0"/>
          <w:sz w:val="28"/>
          <w:szCs w:val="28"/>
          <w:shd w:val="clear" w:color="auto" w:fill="FFFFFF"/>
          <w:lang w:val="en-US" w:eastAsia="zh-CN"/>
        </w:rPr>
      </w:pPr>
      <w:r>
        <w:rPr>
          <w:rFonts w:hint="eastAsia" w:ascii="宋体" w:hAnsi="宋体" w:cs="宋体"/>
          <w:i w:val="0"/>
          <w:caps w:val="0"/>
          <w:color w:val="333333"/>
          <w:spacing w:val="0"/>
          <w:sz w:val="28"/>
          <w:szCs w:val="28"/>
          <w:shd w:val="clear" w:color="auto" w:fill="FFFFFF"/>
          <w:lang w:val="en-US" w:eastAsia="zh-CN"/>
        </w:rPr>
        <w:t>6</w:t>
      </w:r>
      <w:r>
        <w:rPr>
          <w:rFonts w:hint="eastAsia" w:ascii="宋体" w:hAnsi="宋体" w:eastAsia="宋体" w:cs="宋体"/>
          <w:i w:val="0"/>
          <w:caps w:val="0"/>
          <w:color w:val="333333"/>
          <w:spacing w:val="0"/>
          <w:sz w:val="28"/>
          <w:szCs w:val="28"/>
          <w:shd w:val="clear" w:color="auto" w:fill="FFFFFF"/>
          <w:lang w:val="en-US" w:eastAsia="zh-CN"/>
        </w:rPr>
        <w:t xml:space="preserve">.询价响应人不得在“信用中国”网（www.creditchina.gov.cn)中被列入失信被执行人名单或企业经营异常名录或重大税收违法案件当事人名单或建设领域行政处罚信息，如：本类似项目领域包含招投标过程的处罚。（询价响应人在询价响应文件中必须提供网上查询截图并加盖公章）； </w:t>
      </w:r>
    </w:p>
    <w:p>
      <w:pPr>
        <w:keepNext w:val="0"/>
        <w:keepLines w:val="0"/>
        <w:pageBreakBefore w:val="0"/>
        <w:kinsoku/>
        <w:wordWrap/>
        <w:overflowPunct/>
        <w:topLinePunct w:val="0"/>
        <w:autoSpaceDE/>
        <w:autoSpaceDN/>
        <w:bidi w:val="0"/>
        <w:adjustRightInd/>
        <w:snapToGrid/>
        <w:spacing w:line="560" w:lineRule="exact"/>
        <w:ind w:firstLine="560" w:firstLineChars="200"/>
        <w:rPr>
          <w:rFonts w:hint="eastAsia" w:ascii="宋体" w:hAnsi="宋体" w:eastAsia="宋体" w:cs="宋体"/>
          <w:i w:val="0"/>
          <w:caps w:val="0"/>
          <w:color w:val="333333"/>
          <w:spacing w:val="0"/>
          <w:sz w:val="28"/>
          <w:szCs w:val="28"/>
          <w:shd w:val="clear" w:color="auto" w:fill="FFFFFF"/>
          <w:lang w:val="en-US" w:eastAsia="zh-CN"/>
        </w:rPr>
      </w:pPr>
      <w:r>
        <w:rPr>
          <w:rFonts w:hint="eastAsia" w:ascii="宋体" w:hAnsi="宋体" w:cs="宋体"/>
          <w:i w:val="0"/>
          <w:caps w:val="0"/>
          <w:color w:val="333333"/>
          <w:spacing w:val="0"/>
          <w:sz w:val="28"/>
          <w:szCs w:val="28"/>
          <w:shd w:val="clear" w:color="auto" w:fill="FFFFFF"/>
          <w:lang w:val="en-US" w:eastAsia="zh-CN"/>
        </w:rPr>
        <w:t>6</w:t>
      </w:r>
      <w:r>
        <w:rPr>
          <w:rFonts w:hint="eastAsia" w:ascii="宋体" w:hAnsi="宋体" w:eastAsia="宋体" w:cs="宋体"/>
          <w:i w:val="0"/>
          <w:caps w:val="0"/>
          <w:color w:val="333333"/>
          <w:spacing w:val="0"/>
          <w:sz w:val="28"/>
          <w:szCs w:val="28"/>
          <w:shd w:val="clear" w:color="auto" w:fill="FFFFFF"/>
          <w:lang w:val="en-US" w:eastAsia="zh-CN"/>
        </w:rPr>
        <w:t>.本项目不接受联合体投标；</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562" w:firstLineChars="200"/>
        <w:outlineLvl w:val="0"/>
        <w:rPr>
          <w:rFonts w:hint="eastAsia" w:ascii="宋体" w:hAnsi="宋体" w:eastAsia="宋体" w:cs="宋体"/>
          <w:b/>
          <w:bCs/>
          <w:color w:val="auto"/>
          <w:sz w:val="28"/>
          <w:szCs w:val="28"/>
        </w:rPr>
      </w:pPr>
      <w:r>
        <w:rPr>
          <w:rFonts w:hint="eastAsia" w:ascii="宋体" w:hAnsi="宋体" w:eastAsia="宋体" w:cs="宋体"/>
          <w:b/>
          <w:bCs/>
          <w:color w:val="auto"/>
          <w:sz w:val="28"/>
          <w:szCs w:val="28"/>
        </w:rPr>
        <w:t>五、项目周期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i w:val="0"/>
          <w:caps w:val="0"/>
          <w:color w:val="333333"/>
          <w:spacing w:val="0"/>
          <w:sz w:val="28"/>
          <w:szCs w:val="28"/>
          <w:shd w:val="clear" w:color="auto" w:fill="FFFFFF"/>
          <w:lang w:val="en-US" w:eastAsia="zh-CN"/>
        </w:rPr>
      </w:pPr>
      <w:r>
        <w:rPr>
          <w:rFonts w:hint="eastAsia" w:ascii="宋体" w:hAnsi="宋体" w:cs="宋体"/>
          <w:i w:val="0"/>
          <w:caps w:val="0"/>
          <w:color w:val="333333"/>
          <w:spacing w:val="0"/>
          <w:sz w:val="28"/>
          <w:szCs w:val="28"/>
          <w:shd w:val="clear" w:color="auto" w:fill="FFFFFF"/>
          <w:lang w:val="en-US" w:eastAsia="zh-CN"/>
        </w:rPr>
        <w:t>合同签订</w:t>
      </w:r>
      <w:r>
        <w:rPr>
          <w:rFonts w:hint="eastAsia" w:ascii="宋体" w:hAnsi="宋体" w:eastAsia="宋体" w:cs="宋体"/>
          <w:i w:val="0"/>
          <w:caps w:val="0"/>
          <w:color w:val="333333"/>
          <w:spacing w:val="0"/>
          <w:sz w:val="28"/>
          <w:szCs w:val="28"/>
          <w:shd w:val="clear" w:color="auto" w:fill="FFFFFF"/>
          <w:lang w:val="en-US" w:eastAsia="zh-CN"/>
        </w:rPr>
        <w:t>后</w:t>
      </w:r>
      <w:r>
        <w:rPr>
          <w:rFonts w:hint="eastAsia" w:ascii="宋体" w:hAnsi="宋体" w:cs="宋体"/>
          <w:i w:val="0"/>
          <w:caps w:val="0"/>
          <w:color w:val="333333"/>
          <w:spacing w:val="0"/>
          <w:sz w:val="28"/>
          <w:szCs w:val="28"/>
          <w:shd w:val="clear" w:color="auto" w:fill="FFFFFF"/>
          <w:lang w:val="en-US" w:eastAsia="zh-CN"/>
        </w:rPr>
        <w:t>180</w:t>
      </w:r>
      <w:r>
        <w:rPr>
          <w:rFonts w:hint="eastAsia" w:ascii="宋体" w:hAnsi="宋体" w:eastAsia="宋体" w:cs="宋体"/>
          <w:i w:val="0"/>
          <w:caps w:val="0"/>
          <w:color w:val="333333"/>
          <w:spacing w:val="0"/>
          <w:sz w:val="28"/>
          <w:szCs w:val="28"/>
          <w:shd w:val="clear" w:color="auto" w:fill="FFFFFF"/>
          <w:lang w:val="en-US" w:eastAsia="zh-CN"/>
        </w:rPr>
        <w:t>日历天。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i w:val="0"/>
          <w:caps w:val="0"/>
          <w:color w:val="333333"/>
          <w:spacing w:val="0"/>
          <w:sz w:val="28"/>
          <w:szCs w:val="28"/>
          <w:shd w:val="clear" w:color="auto" w:fill="FFFFFF"/>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OWY2NWU0OTc3ODE3NmM3YTI3ZjU5ZGVkZjU0NGMifQ=="/>
  </w:docVars>
  <w:rsids>
    <w:rsidRoot w:val="00E02D9A"/>
    <w:rsid w:val="001F50DA"/>
    <w:rsid w:val="00550995"/>
    <w:rsid w:val="005865E4"/>
    <w:rsid w:val="005C025E"/>
    <w:rsid w:val="008949E2"/>
    <w:rsid w:val="00A84130"/>
    <w:rsid w:val="00D540EA"/>
    <w:rsid w:val="00E02D9A"/>
    <w:rsid w:val="00F4581F"/>
    <w:rsid w:val="01D727F8"/>
    <w:rsid w:val="01E12DC0"/>
    <w:rsid w:val="038D497D"/>
    <w:rsid w:val="03D55001"/>
    <w:rsid w:val="049238EF"/>
    <w:rsid w:val="06707EB2"/>
    <w:rsid w:val="0950326A"/>
    <w:rsid w:val="095F5458"/>
    <w:rsid w:val="0AD53224"/>
    <w:rsid w:val="0AD9599F"/>
    <w:rsid w:val="0C086C0F"/>
    <w:rsid w:val="0D094A20"/>
    <w:rsid w:val="0D3055F8"/>
    <w:rsid w:val="0D696DB8"/>
    <w:rsid w:val="0DD6077E"/>
    <w:rsid w:val="0E0E5837"/>
    <w:rsid w:val="0F07574C"/>
    <w:rsid w:val="0FE94238"/>
    <w:rsid w:val="0FF67065"/>
    <w:rsid w:val="101858E8"/>
    <w:rsid w:val="10987CC2"/>
    <w:rsid w:val="10DB4EE3"/>
    <w:rsid w:val="10F45AE9"/>
    <w:rsid w:val="11CC3229"/>
    <w:rsid w:val="13CE4A0B"/>
    <w:rsid w:val="17880471"/>
    <w:rsid w:val="18D77A61"/>
    <w:rsid w:val="1AB529D5"/>
    <w:rsid w:val="1B7B48C4"/>
    <w:rsid w:val="1C991720"/>
    <w:rsid w:val="1D64281E"/>
    <w:rsid w:val="1DA362B3"/>
    <w:rsid w:val="22AA650E"/>
    <w:rsid w:val="25975C45"/>
    <w:rsid w:val="27D305E4"/>
    <w:rsid w:val="27E1136C"/>
    <w:rsid w:val="2857016D"/>
    <w:rsid w:val="2D087133"/>
    <w:rsid w:val="2E5D4458"/>
    <w:rsid w:val="2EF0518E"/>
    <w:rsid w:val="2FCF25FE"/>
    <w:rsid w:val="2FF114ED"/>
    <w:rsid w:val="30B837C4"/>
    <w:rsid w:val="34126ED7"/>
    <w:rsid w:val="34330EF5"/>
    <w:rsid w:val="34C75EDB"/>
    <w:rsid w:val="35564933"/>
    <w:rsid w:val="360D2171"/>
    <w:rsid w:val="361B6182"/>
    <w:rsid w:val="364C536D"/>
    <w:rsid w:val="388E7474"/>
    <w:rsid w:val="389F0A2A"/>
    <w:rsid w:val="398F6C60"/>
    <w:rsid w:val="3A695E9D"/>
    <w:rsid w:val="3BC94F5B"/>
    <w:rsid w:val="3DA8499B"/>
    <w:rsid w:val="3DB00499"/>
    <w:rsid w:val="41480164"/>
    <w:rsid w:val="4179785B"/>
    <w:rsid w:val="428B4359"/>
    <w:rsid w:val="431C1B20"/>
    <w:rsid w:val="4352518A"/>
    <w:rsid w:val="43964F21"/>
    <w:rsid w:val="43A86F10"/>
    <w:rsid w:val="43FB3D0B"/>
    <w:rsid w:val="456C1106"/>
    <w:rsid w:val="4990124F"/>
    <w:rsid w:val="4B950AA9"/>
    <w:rsid w:val="4CA31E13"/>
    <w:rsid w:val="4D7C585F"/>
    <w:rsid w:val="4D930539"/>
    <w:rsid w:val="4DC737AA"/>
    <w:rsid w:val="4EF77617"/>
    <w:rsid w:val="4F3E697A"/>
    <w:rsid w:val="4F9E2E83"/>
    <w:rsid w:val="50405C84"/>
    <w:rsid w:val="53953EC8"/>
    <w:rsid w:val="56FB582F"/>
    <w:rsid w:val="58423B7F"/>
    <w:rsid w:val="592E39DA"/>
    <w:rsid w:val="59326F41"/>
    <w:rsid w:val="5E1D58D3"/>
    <w:rsid w:val="5EE32806"/>
    <w:rsid w:val="5F1644D9"/>
    <w:rsid w:val="603B78D2"/>
    <w:rsid w:val="60BF4A9F"/>
    <w:rsid w:val="626D33A6"/>
    <w:rsid w:val="63693841"/>
    <w:rsid w:val="65D31599"/>
    <w:rsid w:val="663179DD"/>
    <w:rsid w:val="664643DA"/>
    <w:rsid w:val="681F0AEC"/>
    <w:rsid w:val="68652543"/>
    <w:rsid w:val="69DD4235"/>
    <w:rsid w:val="6B6E222C"/>
    <w:rsid w:val="6D207759"/>
    <w:rsid w:val="6D5C29E9"/>
    <w:rsid w:val="6DA46816"/>
    <w:rsid w:val="6DE45175"/>
    <w:rsid w:val="6F5D2A79"/>
    <w:rsid w:val="700C2468"/>
    <w:rsid w:val="701D28B0"/>
    <w:rsid w:val="70A1528F"/>
    <w:rsid w:val="71CC266C"/>
    <w:rsid w:val="72A37BA3"/>
    <w:rsid w:val="74166F59"/>
    <w:rsid w:val="749C0C28"/>
    <w:rsid w:val="74B601FE"/>
    <w:rsid w:val="76267BB0"/>
    <w:rsid w:val="76806B64"/>
    <w:rsid w:val="76EF15E5"/>
    <w:rsid w:val="76F13B69"/>
    <w:rsid w:val="77B903D6"/>
    <w:rsid w:val="7A810E46"/>
    <w:rsid w:val="7C896F05"/>
    <w:rsid w:val="7CE636E9"/>
    <w:rsid w:val="7D3077E9"/>
    <w:rsid w:val="7FB1662E"/>
    <w:rsid w:val="7FB70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3">
    <w:name w:val="Normal Indent"/>
    <w:basedOn w:val="1"/>
    <w:qFormat/>
    <w:uiPriority w:val="0"/>
    <w:pPr>
      <w:ind w:firstLine="420" w:firstLineChars="200"/>
    </w:pPr>
  </w:style>
  <w:style w:type="paragraph" w:styleId="4">
    <w:name w:val="Body Text Indent"/>
    <w:basedOn w:val="1"/>
    <w:qFormat/>
    <w:uiPriority w:val="0"/>
    <w:pPr>
      <w:spacing w:line="360" w:lineRule="auto"/>
      <w:ind w:firstLine="480" w:firstLineChars="200"/>
    </w:pPr>
    <w:rPr>
      <w:rFonts w:ascii="宋体" w:hAnsi="宋体" w:cs="Times New Roman"/>
      <w:sz w:val="24"/>
    </w:rPr>
  </w:style>
  <w:style w:type="paragraph" w:styleId="5">
    <w:name w:val="Plain Text"/>
    <w:basedOn w:val="1"/>
    <w:next w:val="6"/>
    <w:qFormat/>
    <w:uiPriority w:val="0"/>
    <w:rPr>
      <w:rFonts w:ascii="宋体" w:hAnsi="Courier New"/>
      <w:szCs w:val="21"/>
    </w:rPr>
  </w:style>
  <w:style w:type="paragraph" w:styleId="6">
    <w:name w:val="index heading"/>
    <w:basedOn w:val="1"/>
    <w:next w:val="7"/>
    <w:qFormat/>
    <w:uiPriority w:val="0"/>
    <w:pPr>
      <w:spacing w:before="120" w:after="120"/>
      <w:jc w:val="center"/>
    </w:pPr>
    <w:rPr>
      <w:rFonts w:ascii="Calibri" w:hAnsi="Calibri" w:eastAsia="宋体" w:cs="Times New Roman"/>
      <w:b/>
      <w:bCs/>
      <w:iCs/>
      <w:szCs w:val="20"/>
    </w:rPr>
  </w:style>
  <w:style w:type="paragraph" w:styleId="7">
    <w:name w:val="index 1"/>
    <w:basedOn w:val="1"/>
    <w:next w:val="8"/>
    <w:qFormat/>
    <w:uiPriority w:val="0"/>
    <w:pPr>
      <w:jc w:val="left"/>
    </w:pPr>
    <w:rPr>
      <w:rFonts w:ascii="宋体" w:hAnsi="Times New Roman" w:eastAsia="宋体" w:cs="Times New Roman"/>
      <w:szCs w:val="21"/>
    </w:rPr>
  </w:style>
  <w:style w:type="paragraph" w:customStyle="1" w:styleId="8">
    <w:name w:val="段"/>
    <w:next w:val="1"/>
    <w:qFormat/>
    <w:uiPriority w:val="0"/>
    <w:pPr>
      <w:autoSpaceDE w:val="0"/>
      <w:autoSpaceDN w:val="0"/>
      <w:ind w:firstLine="200" w:firstLineChars="200"/>
      <w:jc w:val="both"/>
    </w:pPr>
    <w:rPr>
      <w:rFonts w:ascii="宋体" w:hAnsi="Times New Roman" w:eastAsia="宋体" w:cs="Arial"/>
      <w:kern w:val="2"/>
      <w:sz w:val="21"/>
      <w:szCs w:val="22"/>
      <w:lang w:val="en-US" w:eastAsia="zh-CN" w:bidi="ar-SA"/>
    </w:rPr>
  </w:style>
  <w:style w:type="paragraph" w:styleId="9">
    <w:name w:val="footer"/>
    <w:basedOn w:val="1"/>
    <w:link w:val="25"/>
    <w:qFormat/>
    <w:uiPriority w:val="0"/>
    <w:pPr>
      <w:tabs>
        <w:tab w:val="center" w:pos="4153"/>
        <w:tab w:val="right" w:pos="8306"/>
      </w:tabs>
      <w:snapToGrid w:val="0"/>
      <w:jc w:val="left"/>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4"/>
    <w:qFormat/>
    <w:uiPriority w:val="0"/>
    <w:pPr>
      <w:ind w:firstLine="420"/>
    </w:pPr>
    <w:rPr>
      <w:rFonts w:ascii="Times New Roman" w:hAnsi="Times New Roman"/>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NormalCharacter"/>
    <w:semiHidden/>
    <w:qFormat/>
    <w:uiPriority w:val="0"/>
  </w:style>
  <w:style w:type="table" w:customStyle="1" w:styleId="16">
    <w:name w:val="TableNormal"/>
    <w:semiHidden/>
    <w:qFormat/>
    <w:uiPriority w:val="0"/>
    <w:tblPr>
      <w:tblLayout w:type="fixed"/>
      <w:tblCellMar>
        <w:top w:w="0" w:type="dxa"/>
        <w:left w:w="0" w:type="dxa"/>
        <w:bottom w:w="0" w:type="dxa"/>
        <w:right w:w="0" w:type="dxa"/>
      </w:tblCellMar>
    </w:tblPr>
  </w:style>
  <w:style w:type="character" w:customStyle="1" w:styleId="17">
    <w:name w:val="UserStyle_0"/>
    <w:basedOn w:val="15"/>
    <w:qFormat/>
    <w:uiPriority w:val="0"/>
    <w:rPr>
      <w:rFonts w:ascii="等线" w:hAnsi="等线" w:eastAsia="等线"/>
      <w:color w:val="000000"/>
      <w:sz w:val="18"/>
      <w:szCs w:val="18"/>
    </w:rPr>
  </w:style>
  <w:style w:type="character" w:customStyle="1" w:styleId="18">
    <w:name w:val="UserStyle_1"/>
    <w:basedOn w:val="15"/>
    <w:qFormat/>
    <w:uiPriority w:val="0"/>
    <w:rPr>
      <w:rFonts w:ascii="Times New Roman" w:hAnsi="Times New Roman"/>
      <w:color w:val="000000"/>
      <w:sz w:val="18"/>
      <w:szCs w:val="18"/>
    </w:rPr>
  </w:style>
  <w:style w:type="character" w:customStyle="1" w:styleId="19">
    <w:name w:val="font01"/>
    <w:basedOn w:val="14"/>
    <w:qFormat/>
    <w:uiPriority w:val="0"/>
    <w:rPr>
      <w:rFonts w:hint="eastAsia" w:ascii="黑体" w:hAnsi="宋体" w:eastAsia="黑体" w:cs="黑体"/>
      <w:color w:val="000000"/>
      <w:sz w:val="20"/>
      <w:szCs w:val="20"/>
      <w:u w:val="none"/>
    </w:rPr>
  </w:style>
  <w:style w:type="character" w:customStyle="1" w:styleId="20">
    <w:name w:val="font91"/>
    <w:basedOn w:val="14"/>
    <w:qFormat/>
    <w:uiPriority w:val="0"/>
    <w:rPr>
      <w:rFonts w:ascii="Arial" w:hAnsi="Arial" w:cs="Arial"/>
      <w:color w:val="000000"/>
      <w:sz w:val="20"/>
      <w:szCs w:val="20"/>
      <w:u w:val="none"/>
    </w:rPr>
  </w:style>
  <w:style w:type="character" w:customStyle="1" w:styleId="21">
    <w:name w:val="font61"/>
    <w:basedOn w:val="14"/>
    <w:qFormat/>
    <w:uiPriority w:val="0"/>
    <w:rPr>
      <w:rFonts w:hint="eastAsia" w:ascii="黑体" w:hAnsi="宋体" w:eastAsia="黑体" w:cs="黑体"/>
      <w:color w:val="000000"/>
      <w:sz w:val="20"/>
      <w:szCs w:val="20"/>
      <w:u w:val="none"/>
    </w:rPr>
  </w:style>
  <w:style w:type="character" w:customStyle="1" w:styleId="22">
    <w:name w:val="font41"/>
    <w:basedOn w:val="14"/>
    <w:qFormat/>
    <w:uiPriority w:val="0"/>
    <w:rPr>
      <w:rFonts w:ascii="Arial" w:hAnsi="Arial" w:cs="Arial"/>
      <w:color w:val="000000"/>
      <w:sz w:val="20"/>
      <w:szCs w:val="20"/>
      <w:u w:val="none"/>
    </w:rPr>
  </w:style>
  <w:style w:type="character" w:customStyle="1" w:styleId="23">
    <w:name w:val="font131"/>
    <w:basedOn w:val="14"/>
    <w:qFormat/>
    <w:uiPriority w:val="0"/>
    <w:rPr>
      <w:rFonts w:hint="eastAsia" w:ascii="宋体" w:hAnsi="宋体" w:eastAsia="宋体" w:cs="宋体"/>
      <w:color w:val="000000"/>
      <w:sz w:val="20"/>
      <w:szCs w:val="20"/>
      <w:u w:val="none"/>
    </w:rPr>
  </w:style>
  <w:style w:type="character" w:customStyle="1" w:styleId="24">
    <w:name w:val="页眉 Char"/>
    <w:basedOn w:val="14"/>
    <w:link w:val="2"/>
    <w:qFormat/>
    <w:uiPriority w:val="0"/>
    <w:rPr>
      <w:rFonts w:ascii="Calibri" w:hAnsi="Calibri" w:cstheme="minorBidi"/>
      <w:kern w:val="2"/>
      <w:sz w:val="18"/>
      <w:szCs w:val="18"/>
    </w:rPr>
  </w:style>
  <w:style w:type="character" w:customStyle="1" w:styleId="25">
    <w:name w:val="页脚 Char"/>
    <w:basedOn w:val="14"/>
    <w:link w:val="9"/>
    <w:qFormat/>
    <w:uiPriority w:val="0"/>
    <w:rPr>
      <w:rFonts w:ascii="Calibri" w:hAnsi="Calibri"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1286</Words>
  <Characters>1349</Characters>
  <Lines>8</Lines>
  <Paragraphs>2</Paragraphs>
  <TotalTime>1</TotalTime>
  <ScaleCrop>false</ScaleCrop>
  <LinksUpToDate>false</LinksUpToDate>
  <CharactersWithSpaces>1350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2021-06-01T04:50:00Z</dcterms:created>
  <dc:creator>lenovo</dc:creator>
  <cp:lastModifiedBy>一瓶82年牛奶</cp:lastModifiedBy>
  <cp:lastPrinted>2022-04-28T13:45:00Z</cp:lastPrinted>
  <dcterms:modified xsi:type="dcterms:W3CDTF">2025-01-09T03:03:42Z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302838431_cloud</vt:lpwstr>
  </property>
  <property fmtid="{D5CDD505-2E9C-101B-9397-08002B2CF9AE}" pid="3" name="KSOProductBuildVer">
    <vt:lpwstr>2052-11.8.2.8361</vt:lpwstr>
  </property>
  <property fmtid="{D5CDD505-2E9C-101B-9397-08002B2CF9AE}" pid="4" name="ICV">
    <vt:lpwstr>1FAA79C564D3498AAFA671BEED48D4C7_13</vt:lpwstr>
  </property>
</Properties>
</file>